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E8" w:rsidRPr="00001722" w:rsidRDefault="00D95DE8" w:rsidP="00D95DE8">
      <w:pPr>
        <w:autoSpaceDE w:val="0"/>
        <w:autoSpaceDN w:val="0"/>
        <w:adjustRightInd w:val="0"/>
        <w:spacing w:before="0" w:after="0" w:line="276" w:lineRule="auto"/>
        <w:rPr>
          <w:rFonts w:cs="Times New Roman"/>
          <w:color w:val="000000"/>
          <w:sz w:val="28"/>
          <w:szCs w:val="28"/>
        </w:rPr>
      </w:pPr>
    </w:p>
    <w:p w:rsidR="00CC5678" w:rsidRPr="00001722" w:rsidRDefault="00CC5678" w:rsidP="00CC5678">
      <w:pPr>
        <w:pStyle w:val="1"/>
        <w:spacing w:before="0" w:after="0" w:line="276" w:lineRule="auto"/>
        <w:jc w:val="center"/>
        <w:rPr>
          <w:rFonts w:cs="Times New Roman"/>
          <w:sz w:val="28"/>
          <w:szCs w:val="28"/>
        </w:rPr>
      </w:pPr>
      <w:r w:rsidRPr="00001722">
        <w:rPr>
          <w:rFonts w:cs="Times New Roman"/>
          <w:sz w:val="28"/>
          <w:szCs w:val="28"/>
        </w:rPr>
        <w:t>Схемы сертификации</w:t>
      </w:r>
      <w:r w:rsidRPr="00CC5678">
        <w:rPr>
          <w:rFonts w:cs="Times New Roman"/>
          <w:sz w:val="28"/>
          <w:szCs w:val="28"/>
        </w:rPr>
        <w:t xml:space="preserve"> продукции в Системе ИНТЕРГАЗСЕРТ</w:t>
      </w:r>
    </w:p>
    <w:tbl>
      <w:tblPr>
        <w:tblStyle w:val="a3"/>
        <w:tblW w:w="5112" w:type="pct"/>
        <w:tblInd w:w="-289" w:type="dxa"/>
        <w:tblLook w:val="04A0" w:firstRow="1" w:lastRow="0" w:firstColumn="1" w:lastColumn="0" w:noHBand="0" w:noVBand="1"/>
      </w:tblPr>
      <w:tblGrid>
        <w:gridCol w:w="3197"/>
        <w:gridCol w:w="3022"/>
        <w:gridCol w:w="3022"/>
        <w:gridCol w:w="3022"/>
        <w:gridCol w:w="2623"/>
      </w:tblGrid>
      <w:tr w:rsidR="00CC5678" w:rsidTr="007C3DE2">
        <w:tc>
          <w:tcPr>
            <w:tcW w:w="5000" w:type="pct"/>
            <w:gridSpan w:val="5"/>
            <w:shd w:val="clear" w:color="auto" w:fill="A6A6A6" w:themeFill="background1" w:themeFillShade="A6"/>
          </w:tcPr>
          <w:p w:rsidR="00CC5678" w:rsidRPr="006573BC" w:rsidRDefault="00CC5678" w:rsidP="007C3DE2">
            <w:pPr>
              <w:spacing w:before="0" w:after="0" w:line="276" w:lineRule="auto"/>
              <w:jc w:val="center"/>
              <w:rPr>
                <w:color w:val="000000" w:themeColor="text1"/>
                <w:szCs w:val="24"/>
              </w:rPr>
            </w:pPr>
            <w:r w:rsidRPr="006573BC">
              <w:rPr>
                <w:b/>
                <w:color w:val="C00000"/>
                <w:szCs w:val="24"/>
              </w:rPr>
              <w:t>Схема 1</w:t>
            </w:r>
            <w:r w:rsidRPr="006573BC">
              <w:rPr>
                <w:color w:val="C00000"/>
                <w:szCs w:val="24"/>
              </w:rPr>
              <w:t xml:space="preserve"> </w:t>
            </w:r>
            <w:r w:rsidRPr="006573BC">
              <w:rPr>
                <w:szCs w:val="24"/>
              </w:rPr>
              <w:t xml:space="preserve">на соответствие требованиям нормативных документов ПАО «Газпром» (СТО Газпром, Р Газпром), ГОСТ Р, ГОСТ и т.д. </w:t>
            </w:r>
            <w:r w:rsidRPr="006573BC">
              <w:rPr>
                <w:b/>
                <w:color w:val="C00000"/>
                <w:szCs w:val="24"/>
              </w:rPr>
              <w:t>вида ТТ</w:t>
            </w:r>
            <w:r w:rsidRPr="006573BC">
              <w:rPr>
                <w:color w:val="C00000"/>
                <w:szCs w:val="24"/>
              </w:rPr>
              <w:t xml:space="preserve"> </w:t>
            </w:r>
            <w:r w:rsidRPr="006573BC">
              <w:rPr>
                <w:b/>
                <w:color w:val="C00000"/>
                <w:szCs w:val="24"/>
              </w:rPr>
              <w:t>(Технические требования)</w:t>
            </w:r>
            <w:r w:rsidRPr="006573BC">
              <w:rPr>
                <w:szCs w:val="24"/>
              </w:rPr>
              <w:t xml:space="preserve"> / </w:t>
            </w:r>
            <w:r w:rsidRPr="006573BC">
              <w:rPr>
                <w:color w:val="000000" w:themeColor="text1"/>
                <w:szCs w:val="24"/>
              </w:rPr>
              <w:t>или</w:t>
            </w:r>
          </w:p>
          <w:p w:rsidR="00CC5678" w:rsidRDefault="00CC5678" w:rsidP="004756A5">
            <w:pPr>
              <w:tabs>
                <w:tab w:val="left" w:pos="2780"/>
              </w:tabs>
              <w:spacing w:before="0" w:after="0" w:line="276" w:lineRule="auto"/>
              <w:jc w:val="center"/>
              <w:rPr>
                <w:b/>
                <w:color w:val="C00000"/>
                <w:szCs w:val="24"/>
              </w:rPr>
            </w:pPr>
            <w:r w:rsidRPr="006573BC">
              <w:rPr>
                <w:b/>
                <w:color w:val="C00000"/>
                <w:szCs w:val="24"/>
              </w:rPr>
              <w:t>Схема 2</w:t>
            </w:r>
            <w:r w:rsidRPr="006573BC">
              <w:rPr>
                <w:color w:val="C00000"/>
                <w:szCs w:val="24"/>
              </w:rPr>
              <w:t xml:space="preserve"> </w:t>
            </w:r>
            <w:r w:rsidRPr="006573BC">
              <w:rPr>
                <w:szCs w:val="24"/>
              </w:rPr>
              <w:t xml:space="preserve">на соответствие требованиям нормативных документов ПАО «Газпром» (СТО Газпром), ГОСТ Р, ГОСТ и т.д. </w:t>
            </w:r>
            <w:r w:rsidRPr="006573BC">
              <w:rPr>
                <w:b/>
                <w:color w:val="C00000"/>
                <w:szCs w:val="24"/>
              </w:rPr>
              <w:t xml:space="preserve">вида ОТУ </w:t>
            </w:r>
          </w:p>
          <w:p w:rsidR="00CC5678" w:rsidRPr="006573BC" w:rsidRDefault="00CC5678" w:rsidP="007C3DE2">
            <w:pPr>
              <w:spacing w:before="0" w:after="0" w:line="276" w:lineRule="auto"/>
              <w:jc w:val="center"/>
              <w:rPr>
                <w:szCs w:val="24"/>
              </w:rPr>
            </w:pPr>
            <w:r w:rsidRPr="006573BC">
              <w:rPr>
                <w:b/>
                <w:color w:val="C00000"/>
                <w:szCs w:val="24"/>
              </w:rPr>
              <w:t>(Общие технические условия)</w:t>
            </w:r>
            <w:r w:rsidRPr="006573BC">
              <w:rPr>
                <w:szCs w:val="24"/>
              </w:rPr>
              <w:t xml:space="preserve"> /</w:t>
            </w:r>
            <w:r w:rsidRPr="006573BC">
              <w:rPr>
                <w:color w:val="000000" w:themeColor="text1"/>
                <w:szCs w:val="24"/>
              </w:rPr>
              <w:t xml:space="preserve"> или</w:t>
            </w:r>
          </w:p>
          <w:p w:rsidR="00CC5678" w:rsidRPr="00383E03" w:rsidRDefault="00CC5678" w:rsidP="007C3DE2">
            <w:pPr>
              <w:spacing w:before="0" w:after="0" w:line="276" w:lineRule="auto"/>
              <w:jc w:val="center"/>
            </w:pPr>
            <w:r w:rsidRPr="006573BC">
              <w:rPr>
                <w:b/>
                <w:color w:val="C00000"/>
                <w:szCs w:val="24"/>
              </w:rPr>
              <w:t>Схема 3</w:t>
            </w:r>
            <w:r w:rsidRPr="006573BC">
              <w:rPr>
                <w:color w:val="C00000"/>
                <w:szCs w:val="24"/>
              </w:rPr>
              <w:t xml:space="preserve"> </w:t>
            </w:r>
            <w:r w:rsidRPr="006573BC">
              <w:rPr>
                <w:szCs w:val="24"/>
              </w:rPr>
              <w:t>на соответствие специальным требованиям ПАО «Газпром» (</w:t>
            </w:r>
            <w:r w:rsidRPr="006573BC">
              <w:rPr>
                <w:b/>
                <w:color w:val="C00000"/>
                <w:szCs w:val="24"/>
              </w:rPr>
              <w:t>установлены в проектной документации и нормативных документах на продукцию</w:t>
            </w:r>
            <w:r w:rsidRPr="006573BC">
              <w:rPr>
                <w:szCs w:val="24"/>
              </w:rPr>
              <w:t>)</w:t>
            </w:r>
          </w:p>
        </w:tc>
      </w:tr>
      <w:tr w:rsidR="00CC5678" w:rsidTr="007A0759">
        <w:tc>
          <w:tcPr>
            <w:tcW w:w="1074" w:type="pct"/>
            <w:shd w:val="clear" w:color="auto" w:fill="A6A6A6" w:themeFill="background1" w:themeFillShade="A6"/>
          </w:tcPr>
          <w:p w:rsidR="00CC5678" w:rsidRPr="00F20F4E" w:rsidRDefault="00CC5678" w:rsidP="007C3DE2">
            <w:pPr>
              <w:spacing w:before="0" w:after="0" w:line="276" w:lineRule="auto"/>
              <w:jc w:val="center"/>
              <w:rPr>
                <w:b/>
              </w:rPr>
            </w:pPr>
            <w:r w:rsidRPr="00F20F4E">
              <w:rPr>
                <w:b/>
              </w:rPr>
              <w:t>a</w:t>
            </w:r>
          </w:p>
        </w:tc>
        <w:tc>
          <w:tcPr>
            <w:tcW w:w="1015" w:type="pct"/>
            <w:shd w:val="clear" w:color="auto" w:fill="A6A6A6" w:themeFill="background1" w:themeFillShade="A6"/>
          </w:tcPr>
          <w:p w:rsidR="00CC5678" w:rsidRPr="00F20F4E" w:rsidRDefault="00CC5678" w:rsidP="007C3DE2">
            <w:pPr>
              <w:spacing w:before="0" w:after="0" w:line="276" w:lineRule="auto"/>
              <w:jc w:val="center"/>
              <w:rPr>
                <w:b/>
                <w:lang w:val="en-US"/>
              </w:rPr>
            </w:pPr>
            <w:r w:rsidRPr="00F20F4E">
              <w:rPr>
                <w:b/>
                <w:lang w:val="en-US"/>
              </w:rPr>
              <w:t>b</w:t>
            </w:r>
          </w:p>
        </w:tc>
        <w:tc>
          <w:tcPr>
            <w:tcW w:w="1015" w:type="pct"/>
            <w:shd w:val="clear" w:color="auto" w:fill="A6A6A6" w:themeFill="background1" w:themeFillShade="A6"/>
          </w:tcPr>
          <w:p w:rsidR="00CC5678" w:rsidRPr="00F20F4E" w:rsidRDefault="00CC5678" w:rsidP="007C3DE2">
            <w:pPr>
              <w:spacing w:before="0" w:after="0" w:line="276" w:lineRule="auto"/>
              <w:jc w:val="center"/>
              <w:rPr>
                <w:b/>
                <w:lang w:val="en-US"/>
              </w:rPr>
            </w:pPr>
            <w:r w:rsidRPr="00F20F4E">
              <w:rPr>
                <w:b/>
                <w:lang w:val="en-US"/>
              </w:rPr>
              <w:t>c</w:t>
            </w:r>
          </w:p>
        </w:tc>
        <w:tc>
          <w:tcPr>
            <w:tcW w:w="1015" w:type="pct"/>
            <w:shd w:val="clear" w:color="auto" w:fill="A6A6A6" w:themeFill="background1" w:themeFillShade="A6"/>
          </w:tcPr>
          <w:p w:rsidR="00CC5678" w:rsidRPr="00F20F4E" w:rsidRDefault="00CC5678" w:rsidP="007C3DE2">
            <w:pPr>
              <w:spacing w:before="0" w:after="0" w:line="276" w:lineRule="auto"/>
              <w:jc w:val="center"/>
              <w:rPr>
                <w:b/>
                <w:lang w:val="en-US"/>
              </w:rPr>
            </w:pPr>
            <w:r w:rsidRPr="00F20F4E">
              <w:rPr>
                <w:b/>
                <w:lang w:val="en-US"/>
              </w:rPr>
              <w:t>d</w:t>
            </w:r>
          </w:p>
        </w:tc>
        <w:tc>
          <w:tcPr>
            <w:tcW w:w="881" w:type="pct"/>
            <w:shd w:val="clear" w:color="auto" w:fill="A6A6A6" w:themeFill="background1" w:themeFillShade="A6"/>
          </w:tcPr>
          <w:p w:rsidR="00CC5678" w:rsidRPr="00F20F4E" w:rsidRDefault="00CC5678" w:rsidP="007C3DE2">
            <w:pPr>
              <w:spacing w:before="0" w:after="0" w:line="276" w:lineRule="auto"/>
              <w:jc w:val="center"/>
              <w:rPr>
                <w:b/>
                <w:lang w:val="en-US"/>
              </w:rPr>
            </w:pPr>
            <w:r w:rsidRPr="00F20F4E">
              <w:rPr>
                <w:b/>
                <w:lang w:val="en-US"/>
              </w:rPr>
              <w:t>e</w:t>
            </w:r>
          </w:p>
        </w:tc>
      </w:tr>
      <w:tr w:rsidR="00CC5678" w:rsidTr="007A0759">
        <w:tc>
          <w:tcPr>
            <w:tcW w:w="1074" w:type="pct"/>
            <w:shd w:val="clear" w:color="auto" w:fill="C5E0B3" w:themeFill="accent6" w:themeFillTint="66"/>
          </w:tcPr>
          <w:p w:rsidR="00CC5678" w:rsidRDefault="00CC5678" w:rsidP="007C3DE2">
            <w:pPr>
              <w:spacing w:before="0" w:after="0" w:line="276" w:lineRule="auto"/>
            </w:pPr>
            <w:r>
              <w:t>Наличие свидетельства об оценке деловой репутации, выданного в Системе ИНТЕРГАЗСЕРТ</w:t>
            </w:r>
          </w:p>
        </w:tc>
        <w:tc>
          <w:tcPr>
            <w:tcW w:w="1015" w:type="pct"/>
            <w:shd w:val="clear" w:color="auto" w:fill="D9D9D9" w:themeFill="background1" w:themeFillShade="D9"/>
          </w:tcPr>
          <w:p w:rsidR="00CC5678" w:rsidRDefault="00CC5678" w:rsidP="007C3DE2">
            <w:pPr>
              <w:spacing w:before="0" w:after="0" w:line="276" w:lineRule="auto"/>
              <w:jc w:val="center"/>
            </w:pPr>
          </w:p>
        </w:tc>
        <w:tc>
          <w:tcPr>
            <w:tcW w:w="1015" w:type="pct"/>
            <w:shd w:val="clear" w:color="auto" w:fill="D9D9D9" w:themeFill="background1" w:themeFillShade="D9"/>
          </w:tcPr>
          <w:p w:rsidR="00CC5678" w:rsidRPr="00171453" w:rsidRDefault="00CC5678" w:rsidP="007C3DE2">
            <w:pPr>
              <w:spacing w:before="0" w:after="0" w:line="276" w:lineRule="auto"/>
            </w:pPr>
          </w:p>
        </w:tc>
        <w:tc>
          <w:tcPr>
            <w:tcW w:w="1015" w:type="pct"/>
            <w:shd w:val="clear" w:color="auto" w:fill="D9D9D9" w:themeFill="background1" w:themeFillShade="D9"/>
          </w:tcPr>
          <w:p w:rsidR="00CC5678" w:rsidRPr="00171453" w:rsidRDefault="00CC5678" w:rsidP="007C3DE2">
            <w:pPr>
              <w:spacing w:before="0" w:after="0" w:line="276" w:lineRule="auto"/>
            </w:pPr>
          </w:p>
        </w:tc>
        <w:tc>
          <w:tcPr>
            <w:tcW w:w="881" w:type="pct"/>
            <w:shd w:val="clear" w:color="auto" w:fill="D9D9D9" w:themeFill="background1" w:themeFillShade="D9"/>
          </w:tcPr>
          <w:p w:rsidR="00CC5678" w:rsidRPr="00591B36" w:rsidRDefault="00CC5678" w:rsidP="007C3DE2">
            <w:pPr>
              <w:spacing w:before="0" w:after="0" w:line="276" w:lineRule="auto"/>
              <w:jc w:val="center"/>
              <w:rPr>
                <w:i/>
              </w:rPr>
            </w:pPr>
            <w:r w:rsidRPr="001E4485">
              <w:rPr>
                <w:i/>
                <w:color w:val="FF0000"/>
              </w:rPr>
              <w:t>в отношении партий продукции или единичного изделия</w:t>
            </w:r>
          </w:p>
        </w:tc>
      </w:tr>
      <w:tr w:rsidR="00CC5678" w:rsidTr="007A0759">
        <w:tc>
          <w:tcPr>
            <w:tcW w:w="1074" w:type="pct"/>
            <w:shd w:val="clear" w:color="auto" w:fill="C5E0B3" w:themeFill="accent6" w:themeFillTint="66"/>
          </w:tcPr>
          <w:p w:rsidR="00CC5678" w:rsidRDefault="00CC5678" w:rsidP="007C3DE2">
            <w:pPr>
              <w:spacing w:before="0" w:after="0" w:line="276" w:lineRule="auto"/>
            </w:pPr>
            <w:r>
              <w:t xml:space="preserve">Наличие сертификата СМК </w:t>
            </w:r>
            <w:r w:rsidRPr="008577C4">
              <w:t>требованиям</w:t>
            </w:r>
            <w:r>
              <w:t xml:space="preserve"> </w:t>
            </w:r>
            <w:r w:rsidRPr="008577C4">
              <w:t>СТО Газпром 9001</w:t>
            </w:r>
            <w:r>
              <w:t>, выданного в Системе ИНТЕРГАЗСЕРТ</w:t>
            </w:r>
          </w:p>
        </w:tc>
        <w:tc>
          <w:tcPr>
            <w:tcW w:w="1015" w:type="pct"/>
            <w:shd w:val="clear" w:color="auto" w:fill="BDD6EE" w:themeFill="accent1" w:themeFillTint="66"/>
          </w:tcPr>
          <w:p w:rsidR="00CC5678" w:rsidRPr="002E115D" w:rsidRDefault="00CC5678" w:rsidP="007C3DE2">
            <w:pPr>
              <w:spacing w:before="0" w:after="0" w:line="276" w:lineRule="auto"/>
            </w:pPr>
            <w:r>
              <w:t xml:space="preserve">Наличие сертификата СМК </w:t>
            </w:r>
            <w:r w:rsidRPr="008577C4">
              <w:t>требованиям</w:t>
            </w:r>
            <w:r>
              <w:t xml:space="preserve"> </w:t>
            </w:r>
            <w:r w:rsidRPr="008577C4">
              <w:t>СТО Газпром 9001</w:t>
            </w:r>
            <w:r>
              <w:t>, выданного в Системе ИНТЕРГАЗСЕРТ</w:t>
            </w:r>
          </w:p>
        </w:tc>
        <w:tc>
          <w:tcPr>
            <w:tcW w:w="1015" w:type="pct"/>
            <w:shd w:val="clear" w:color="auto" w:fill="D9D9D9" w:themeFill="background1" w:themeFillShade="D9"/>
          </w:tcPr>
          <w:p w:rsidR="00CC5678" w:rsidRPr="00171453" w:rsidRDefault="00CC5678" w:rsidP="007C3DE2">
            <w:pPr>
              <w:spacing w:before="0" w:after="0" w:line="276" w:lineRule="auto"/>
            </w:pPr>
          </w:p>
        </w:tc>
        <w:tc>
          <w:tcPr>
            <w:tcW w:w="1015" w:type="pct"/>
            <w:shd w:val="clear" w:color="auto" w:fill="D9D9D9" w:themeFill="background1" w:themeFillShade="D9"/>
          </w:tcPr>
          <w:p w:rsidR="00CC5678" w:rsidRPr="00171453" w:rsidRDefault="00CC5678" w:rsidP="007C3DE2">
            <w:pPr>
              <w:spacing w:before="0" w:after="0" w:line="276" w:lineRule="auto"/>
            </w:pPr>
          </w:p>
        </w:tc>
        <w:tc>
          <w:tcPr>
            <w:tcW w:w="881" w:type="pct"/>
            <w:shd w:val="clear" w:color="auto" w:fill="D9D9D9" w:themeFill="background1" w:themeFillShade="D9"/>
          </w:tcPr>
          <w:p w:rsidR="00CC5678" w:rsidRPr="00171453" w:rsidRDefault="00CC5678" w:rsidP="007C3DE2">
            <w:pPr>
              <w:spacing w:before="0" w:after="0" w:line="276" w:lineRule="auto"/>
            </w:pPr>
          </w:p>
        </w:tc>
        <w:bookmarkStart w:id="0" w:name="_GoBack"/>
        <w:bookmarkEnd w:id="0"/>
      </w:tr>
      <w:tr w:rsidR="00CC5678" w:rsidTr="007A0759">
        <w:tc>
          <w:tcPr>
            <w:tcW w:w="1074" w:type="pct"/>
            <w:shd w:val="clear" w:color="auto" w:fill="D9D9D9" w:themeFill="background1" w:themeFillShade="D9"/>
          </w:tcPr>
          <w:p w:rsidR="00CC5678" w:rsidRDefault="00CC5678" w:rsidP="007C3DE2">
            <w:pPr>
              <w:spacing w:before="0" w:after="0" w:line="276" w:lineRule="auto"/>
            </w:pPr>
          </w:p>
        </w:tc>
        <w:tc>
          <w:tcPr>
            <w:tcW w:w="1015" w:type="pct"/>
            <w:shd w:val="clear" w:color="auto" w:fill="D9D9D9" w:themeFill="background1" w:themeFillShade="D9"/>
          </w:tcPr>
          <w:p w:rsidR="00CC5678" w:rsidRPr="002E115D" w:rsidRDefault="00CC5678" w:rsidP="007C3DE2">
            <w:pPr>
              <w:spacing w:before="0" w:after="0" w:line="276" w:lineRule="auto"/>
            </w:pPr>
          </w:p>
        </w:tc>
        <w:tc>
          <w:tcPr>
            <w:tcW w:w="1015" w:type="pct"/>
            <w:shd w:val="clear" w:color="auto" w:fill="FFE599" w:themeFill="accent4" w:themeFillTint="66"/>
          </w:tcPr>
          <w:p w:rsidR="00CC5678" w:rsidRPr="002E115D" w:rsidRDefault="00CC5678" w:rsidP="007C3DE2">
            <w:pPr>
              <w:spacing w:before="0" w:after="0" w:line="276" w:lineRule="auto"/>
            </w:pPr>
            <w:r>
              <w:t xml:space="preserve">Наличие сертификата СМК </w:t>
            </w:r>
            <w:r w:rsidRPr="008577C4">
              <w:t>требованиям</w:t>
            </w:r>
            <w:r>
              <w:t xml:space="preserve"> </w:t>
            </w:r>
            <w:r w:rsidRPr="00CF4377">
              <w:t>ISO</w:t>
            </w:r>
            <w:r w:rsidRPr="008577C4">
              <w:t xml:space="preserve"> 9001</w:t>
            </w:r>
            <w:r>
              <w:t>, выданного в Системе ИНТЕРГАЗСЕРТ</w:t>
            </w:r>
          </w:p>
        </w:tc>
        <w:tc>
          <w:tcPr>
            <w:tcW w:w="1015" w:type="pct"/>
            <w:shd w:val="clear" w:color="auto" w:fill="D9D9D9" w:themeFill="background1" w:themeFillShade="D9"/>
          </w:tcPr>
          <w:p w:rsidR="00CC5678" w:rsidRPr="002E115D" w:rsidRDefault="00CC5678" w:rsidP="007C3DE2">
            <w:pPr>
              <w:spacing w:before="0" w:after="0" w:line="276" w:lineRule="auto"/>
            </w:pPr>
          </w:p>
        </w:tc>
        <w:tc>
          <w:tcPr>
            <w:tcW w:w="881" w:type="pct"/>
            <w:shd w:val="clear" w:color="auto" w:fill="D9D9D9" w:themeFill="background1" w:themeFillShade="D9"/>
          </w:tcPr>
          <w:p w:rsidR="00CC5678" w:rsidRPr="002E115D" w:rsidRDefault="00CC5678" w:rsidP="007C3DE2">
            <w:pPr>
              <w:spacing w:before="0" w:after="0" w:line="276" w:lineRule="auto"/>
            </w:pPr>
          </w:p>
        </w:tc>
      </w:tr>
      <w:tr w:rsidR="00CC5678" w:rsidTr="007A0759">
        <w:tc>
          <w:tcPr>
            <w:tcW w:w="1074" w:type="pct"/>
            <w:shd w:val="clear" w:color="auto" w:fill="C5E0B3" w:themeFill="accent6" w:themeFillTint="66"/>
          </w:tcPr>
          <w:p w:rsidR="00CC5678" w:rsidRDefault="00CC5678" w:rsidP="007C3DE2">
            <w:pPr>
              <w:spacing w:before="0" w:after="0" w:line="276" w:lineRule="auto"/>
            </w:pPr>
            <w:r>
              <w:t>Оценка производства</w:t>
            </w:r>
          </w:p>
        </w:tc>
        <w:tc>
          <w:tcPr>
            <w:tcW w:w="1015" w:type="pct"/>
            <w:shd w:val="clear" w:color="auto" w:fill="BDD6EE" w:themeFill="accent1" w:themeFillTint="66"/>
          </w:tcPr>
          <w:p w:rsidR="00CC5678" w:rsidRDefault="00CC5678" w:rsidP="007C3DE2">
            <w:pPr>
              <w:spacing w:before="0" w:after="0" w:line="276" w:lineRule="auto"/>
            </w:pPr>
            <w:r>
              <w:t>Оценка производства</w:t>
            </w:r>
          </w:p>
        </w:tc>
        <w:tc>
          <w:tcPr>
            <w:tcW w:w="1015" w:type="pct"/>
            <w:shd w:val="clear" w:color="auto" w:fill="FFE599" w:themeFill="accent4" w:themeFillTint="66"/>
          </w:tcPr>
          <w:p w:rsidR="00CC5678" w:rsidRDefault="00CC5678" w:rsidP="007C3DE2">
            <w:pPr>
              <w:spacing w:before="0" w:after="0" w:line="276" w:lineRule="auto"/>
            </w:pPr>
            <w:r>
              <w:t>Оценка производства</w:t>
            </w:r>
          </w:p>
        </w:tc>
        <w:tc>
          <w:tcPr>
            <w:tcW w:w="1015" w:type="pct"/>
            <w:shd w:val="clear" w:color="auto" w:fill="FF0000"/>
          </w:tcPr>
          <w:p w:rsidR="00CC5678" w:rsidRDefault="00CC5678" w:rsidP="007C3DE2">
            <w:pPr>
              <w:spacing w:before="0" w:after="0" w:line="276" w:lineRule="auto"/>
            </w:pPr>
            <w:r>
              <w:t>Оценка производства</w:t>
            </w:r>
          </w:p>
        </w:tc>
        <w:tc>
          <w:tcPr>
            <w:tcW w:w="881" w:type="pct"/>
            <w:shd w:val="clear" w:color="auto" w:fill="D9D9D9" w:themeFill="background1" w:themeFillShade="D9"/>
          </w:tcPr>
          <w:p w:rsidR="00CC5678" w:rsidRPr="002E115D" w:rsidRDefault="00CC5678" w:rsidP="007C3DE2">
            <w:pPr>
              <w:spacing w:before="0" w:after="0" w:line="276" w:lineRule="auto"/>
            </w:pPr>
          </w:p>
        </w:tc>
      </w:tr>
      <w:tr w:rsidR="00CC5678" w:rsidTr="007A0759">
        <w:tc>
          <w:tcPr>
            <w:tcW w:w="1074" w:type="pct"/>
            <w:shd w:val="clear" w:color="auto" w:fill="C5E0B3" w:themeFill="accent6" w:themeFillTint="66"/>
          </w:tcPr>
          <w:p w:rsidR="00CC5678" w:rsidRDefault="00CC5678" w:rsidP="007C3DE2">
            <w:pPr>
              <w:spacing w:before="0" w:after="0" w:line="276" w:lineRule="auto"/>
            </w:pPr>
            <w:r>
              <w:t>Проведение испытаний образцов в ИЛ</w:t>
            </w:r>
          </w:p>
        </w:tc>
        <w:tc>
          <w:tcPr>
            <w:tcW w:w="1015" w:type="pct"/>
            <w:shd w:val="clear" w:color="auto" w:fill="BDD6EE" w:themeFill="accent1" w:themeFillTint="66"/>
          </w:tcPr>
          <w:p w:rsidR="00CC5678" w:rsidRPr="002E115D" w:rsidRDefault="00CC5678" w:rsidP="007C3DE2">
            <w:pPr>
              <w:spacing w:before="0" w:after="0" w:line="276" w:lineRule="auto"/>
            </w:pPr>
            <w:r>
              <w:t>Проведение испытаний образцов в ИЛ</w:t>
            </w:r>
          </w:p>
        </w:tc>
        <w:tc>
          <w:tcPr>
            <w:tcW w:w="1015" w:type="pct"/>
            <w:shd w:val="clear" w:color="auto" w:fill="FFE599" w:themeFill="accent4" w:themeFillTint="66"/>
          </w:tcPr>
          <w:p w:rsidR="00CC5678" w:rsidRDefault="00CC5678" w:rsidP="007C3DE2">
            <w:pPr>
              <w:spacing w:before="0" w:after="0" w:line="276" w:lineRule="auto"/>
            </w:pPr>
            <w:r>
              <w:t>Проведение испытаний образцов в ИЛ</w:t>
            </w:r>
          </w:p>
        </w:tc>
        <w:tc>
          <w:tcPr>
            <w:tcW w:w="1015" w:type="pct"/>
            <w:shd w:val="clear" w:color="auto" w:fill="FF0000"/>
          </w:tcPr>
          <w:p w:rsidR="00CC5678" w:rsidRDefault="00CC5678" w:rsidP="007C3DE2">
            <w:pPr>
              <w:spacing w:before="0" w:after="0" w:line="276" w:lineRule="auto"/>
            </w:pPr>
            <w:r>
              <w:t>Проведение испытаний образцов в ИЛ</w:t>
            </w:r>
          </w:p>
        </w:tc>
        <w:tc>
          <w:tcPr>
            <w:tcW w:w="881" w:type="pct"/>
            <w:shd w:val="clear" w:color="auto" w:fill="0070C0"/>
          </w:tcPr>
          <w:p w:rsidR="00CC5678" w:rsidRDefault="00CC5678" w:rsidP="007C3DE2">
            <w:pPr>
              <w:spacing w:before="0" w:after="0" w:line="276" w:lineRule="auto"/>
            </w:pPr>
            <w:r>
              <w:t>Проведение испытаний образцов в ИЛ</w:t>
            </w:r>
          </w:p>
        </w:tc>
      </w:tr>
      <w:tr w:rsidR="00CC5678" w:rsidTr="007A0759">
        <w:tc>
          <w:tcPr>
            <w:tcW w:w="1074" w:type="pct"/>
            <w:shd w:val="clear" w:color="auto" w:fill="C5E0B3" w:themeFill="accent6" w:themeFillTint="66"/>
          </w:tcPr>
          <w:p w:rsidR="00CC5678" w:rsidRDefault="00CC5678" w:rsidP="007C3DE2">
            <w:pPr>
              <w:spacing w:before="0" w:after="0" w:line="276" w:lineRule="auto"/>
            </w:pPr>
            <w:r>
              <w:t xml:space="preserve">Инспекционный контроль </w:t>
            </w:r>
          </w:p>
        </w:tc>
        <w:tc>
          <w:tcPr>
            <w:tcW w:w="1015" w:type="pct"/>
            <w:shd w:val="clear" w:color="auto" w:fill="BDD6EE" w:themeFill="accent1" w:themeFillTint="66"/>
          </w:tcPr>
          <w:p w:rsidR="00CC5678" w:rsidRPr="002E115D" w:rsidRDefault="00CC5678" w:rsidP="007C3DE2">
            <w:pPr>
              <w:spacing w:before="0" w:after="0" w:line="276" w:lineRule="auto"/>
            </w:pPr>
            <w:r>
              <w:t>Инспекционный контроль</w:t>
            </w:r>
          </w:p>
        </w:tc>
        <w:tc>
          <w:tcPr>
            <w:tcW w:w="1015" w:type="pct"/>
            <w:shd w:val="clear" w:color="auto" w:fill="FFE599" w:themeFill="accent4" w:themeFillTint="66"/>
          </w:tcPr>
          <w:p w:rsidR="00CC5678" w:rsidRDefault="00CC5678" w:rsidP="007C3DE2">
            <w:pPr>
              <w:spacing w:before="0" w:after="0" w:line="276" w:lineRule="auto"/>
            </w:pPr>
            <w:r>
              <w:t>Инспекционный контроль</w:t>
            </w:r>
          </w:p>
        </w:tc>
        <w:tc>
          <w:tcPr>
            <w:tcW w:w="1015" w:type="pct"/>
            <w:shd w:val="clear" w:color="auto" w:fill="FF0000"/>
          </w:tcPr>
          <w:p w:rsidR="00CC5678" w:rsidRDefault="00CC5678" w:rsidP="007C3DE2">
            <w:pPr>
              <w:spacing w:before="0" w:after="0" w:line="276" w:lineRule="auto"/>
            </w:pPr>
            <w:r>
              <w:t>Инспекционный контроль</w:t>
            </w:r>
          </w:p>
        </w:tc>
        <w:tc>
          <w:tcPr>
            <w:tcW w:w="881" w:type="pct"/>
            <w:shd w:val="clear" w:color="auto" w:fill="D9D9D9" w:themeFill="background1" w:themeFillShade="D9"/>
          </w:tcPr>
          <w:p w:rsidR="00CC5678" w:rsidRPr="002E115D" w:rsidRDefault="00CC5678" w:rsidP="007C3DE2">
            <w:pPr>
              <w:spacing w:before="0" w:after="0" w:line="276" w:lineRule="auto"/>
            </w:pPr>
          </w:p>
        </w:tc>
      </w:tr>
      <w:tr w:rsidR="00CC5678" w:rsidTr="007A0759">
        <w:tc>
          <w:tcPr>
            <w:tcW w:w="1074" w:type="pct"/>
            <w:shd w:val="clear" w:color="auto" w:fill="C5E0B3" w:themeFill="accent6" w:themeFillTint="66"/>
          </w:tcPr>
          <w:p w:rsidR="00CC5678" w:rsidRDefault="00CC5678" w:rsidP="007C3DE2">
            <w:pPr>
              <w:spacing w:before="0" w:after="0" w:line="276" w:lineRule="auto"/>
            </w:pPr>
            <w:r>
              <w:t>Маркирование продукции знаком соответствия ИНТЕРГАЗСЕРТ</w:t>
            </w:r>
          </w:p>
        </w:tc>
        <w:tc>
          <w:tcPr>
            <w:tcW w:w="1015" w:type="pct"/>
            <w:shd w:val="clear" w:color="auto" w:fill="D9D9D9" w:themeFill="background1" w:themeFillShade="D9"/>
          </w:tcPr>
          <w:p w:rsidR="00CC5678" w:rsidRDefault="00CC5678" w:rsidP="007C3DE2">
            <w:pPr>
              <w:spacing w:before="0" w:after="0" w:line="276" w:lineRule="auto"/>
            </w:pPr>
          </w:p>
        </w:tc>
        <w:tc>
          <w:tcPr>
            <w:tcW w:w="1015" w:type="pct"/>
            <w:shd w:val="clear" w:color="auto" w:fill="D9D9D9" w:themeFill="background1" w:themeFillShade="D9"/>
          </w:tcPr>
          <w:p w:rsidR="00CC5678" w:rsidRDefault="00CC5678" w:rsidP="007C3DE2">
            <w:pPr>
              <w:spacing w:before="0" w:after="0" w:line="276" w:lineRule="auto"/>
            </w:pPr>
          </w:p>
        </w:tc>
        <w:tc>
          <w:tcPr>
            <w:tcW w:w="1015" w:type="pct"/>
            <w:shd w:val="clear" w:color="auto" w:fill="D9D9D9" w:themeFill="background1" w:themeFillShade="D9"/>
          </w:tcPr>
          <w:p w:rsidR="00CC5678" w:rsidRPr="002E115D" w:rsidRDefault="00CC5678" w:rsidP="007C3DE2">
            <w:pPr>
              <w:spacing w:before="0" w:after="0" w:line="276" w:lineRule="auto"/>
            </w:pPr>
          </w:p>
        </w:tc>
        <w:tc>
          <w:tcPr>
            <w:tcW w:w="881" w:type="pct"/>
            <w:shd w:val="clear" w:color="auto" w:fill="D9D9D9" w:themeFill="background1" w:themeFillShade="D9"/>
          </w:tcPr>
          <w:p w:rsidR="00CC5678" w:rsidRPr="002E115D" w:rsidRDefault="00CC5678" w:rsidP="007C3DE2">
            <w:pPr>
              <w:spacing w:before="0" w:after="0" w:line="276" w:lineRule="auto"/>
            </w:pPr>
          </w:p>
        </w:tc>
      </w:tr>
    </w:tbl>
    <w:p w:rsidR="00CC5678" w:rsidRPr="004756A5" w:rsidRDefault="007A0759" w:rsidP="004756A5">
      <w:pPr>
        <w:pStyle w:val="a4"/>
      </w:pPr>
      <w:r>
        <w:t xml:space="preserve">Подробное описание и принцип выбора схем сертификации приведены в документе Системы </w:t>
      </w:r>
      <w:r w:rsidRPr="00D11BA5">
        <w:t xml:space="preserve">№ ОГН0.RU.0101 </w:t>
      </w:r>
      <w:r>
        <w:t xml:space="preserve">Правила функционирования системы добровольной сертификации ИНТЕРГАЗСЕРТ (Приложение Г) </w:t>
      </w:r>
      <w:hyperlink r:id="rId7" w:history="1">
        <w:r w:rsidRPr="00984165">
          <w:rPr>
            <w:rStyle w:val="a5"/>
          </w:rPr>
          <w:t>https://www.intergazcert.ru/fileadmin/f/about/documents/OGN0.RU.0101.pdf</w:t>
        </w:r>
      </w:hyperlink>
    </w:p>
    <w:sectPr w:rsidR="00CC5678" w:rsidRPr="004756A5" w:rsidSect="004756A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6A5" w:rsidRDefault="004756A5" w:rsidP="004756A5">
      <w:pPr>
        <w:spacing w:before="0" w:after="0" w:line="240" w:lineRule="auto"/>
      </w:pPr>
      <w:r>
        <w:separator/>
      </w:r>
    </w:p>
  </w:endnote>
  <w:endnote w:type="continuationSeparator" w:id="0">
    <w:p w:rsidR="004756A5" w:rsidRDefault="004756A5" w:rsidP="004756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6A5" w:rsidRDefault="004756A5" w:rsidP="004756A5">
      <w:pPr>
        <w:spacing w:before="0" w:after="0" w:line="240" w:lineRule="auto"/>
      </w:pPr>
      <w:r>
        <w:separator/>
      </w:r>
    </w:p>
  </w:footnote>
  <w:footnote w:type="continuationSeparator" w:id="0">
    <w:p w:rsidR="004756A5" w:rsidRDefault="004756A5" w:rsidP="004756A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A2"/>
    <w:rsid w:val="004756A5"/>
    <w:rsid w:val="006122B9"/>
    <w:rsid w:val="006A40A2"/>
    <w:rsid w:val="007A0759"/>
    <w:rsid w:val="007F6049"/>
    <w:rsid w:val="00A724ED"/>
    <w:rsid w:val="00C34754"/>
    <w:rsid w:val="00CC5678"/>
    <w:rsid w:val="00D53E45"/>
    <w:rsid w:val="00D95DE8"/>
    <w:rsid w:val="00F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EEBC1-7068-4629-86FA-8F3BE405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E8"/>
    <w:pPr>
      <w:spacing w:before="120" w:after="120" w:line="30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,Header 1"/>
    <w:basedOn w:val="a"/>
    <w:next w:val="a"/>
    <w:link w:val="10"/>
    <w:uiPriority w:val="9"/>
    <w:qFormat/>
    <w:rsid w:val="00D95DE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,Header 1 Знак"/>
    <w:basedOn w:val="a0"/>
    <w:link w:val="1"/>
    <w:uiPriority w:val="9"/>
    <w:rsid w:val="00D95DE8"/>
    <w:rPr>
      <w:rFonts w:ascii="Times New Roman" w:hAnsi="Times New Roman"/>
      <w:b/>
      <w:sz w:val="24"/>
      <w:szCs w:val="20"/>
    </w:rPr>
  </w:style>
  <w:style w:type="table" w:styleId="a3">
    <w:name w:val="Table Grid"/>
    <w:basedOn w:val="a1"/>
    <w:uiPriority w:val="59"/>
    <w:rsid w:val="00D95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5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7A0759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7A075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756A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6A5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4756A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6A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tergazcert.ru/fileadmin/f/about/documents/OGN0.RU.010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9391-1B07-49DA-AAC9-E336460B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Татьяна Юрьевна</dc:creator>
  <cp:keywords/>
  <dc:description/>
  <cp:lastModifiedBy>Петрова Татьяна Юрьевна</cp:lastModifiedBy>
  <cp:revision>7</cp:revision>
  <dcterms:created xsi:type="dcterms:W3CDTF">2019-01-28T10:58:00Z</dcterms:created>
  <dcterms:modified xsi:type="dcterms:W3CDTF">2019-02-07T14:20:00Z</dcterms:modified>
</cp:coreProperties>
</file>